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6D" w:rsidRDefault="0003066D" w:rsidP="0003066D">
      <w:pPr>
        <w:pStyle w:val="berschrift2"/>
      </w:pPr>
      <w:bookmarkStart w:id="0" w:name="_GoBack"/>
      <w:bookmarkEnd w:id="0"/>
      <w:r>
        <w:t>Fristen</w:t>
      </w:r>
    </w:p>
    <w:p w:rsidR="00D427BB" w:rsidRDefault="00D427BB" w:rsidP="00D427BB">
      <w:r>
        <w:t xml:space="preserve">Die Fristen werden mit der Verabschiedung der neuen </w:t>
      </w:r>
      <w:proofErr w:type="spellStart"/>
      <w:r>
        <w:t>PO’s</w:t>
      </w:r>
      <w:proofErr w:type="spellEnd"/>
      <w:r>
        <w:t xml:space="preserve"> festgelegt und sind in diesen als Übergangsbestimmungen fixiert. Hier finden Sie die Fristen tabellarisch zusammengefasst.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733"/>
        <w:gridCol w:w="817"/>
        <w:gridCol w:w="733"/>
        <w:gridCol w:w="816"/>
        <w:gridCol w:w="733"/>
        <w:gridCol w:w="816"/>
        <w:gridCol w:w="733"/>
        <w:gridCol w:w="747"/>
        <w:gridCol w:w="675"/>
        <w:gridCol w:w="747"/>
        <w:gridCol w:w="644"/>
      </w:tblGrid>
      <w:tr w:rsidR="00764805" w:rsidTr="009034C5">
        <w:tc>
          <w:tcPr>
            <w:tcW w:w="868" w:type="dxa"/>
          </w:tcPr>
          <w:p w:rsidR="00764805" w:rsidRDefault="00764805" w:rsidP="00D427BB">
            <w:r>
              <w:t>PO</w:t>
            </w:r>
          </w:p>
        </w:tc>
        <w:tc>
          <w:tcPr>
            <w:tcW w:w="733" w:type="dxa"/>
          </w:tcPr>
          <w:p w:rsidR="00764805" w:rsidRDefault="00764805" w:rsidP="00D427BB">
            <w:proofErr w:type="spellStart"/>
            <w:r>
              <w:t>SoSe</w:t>
            </w:r>
            <w:proofErr w:type="spellEnd"/>
            <w:r>
              <w:t xml:space="preserve"> 20</w:t>
            </w:r>
          </w:p>
        </w:tc>
        <w:tc>
          <w:tcPr>
            <w:tcW w:w="817" w:type="dxa"/>
          </w:tcPr>
          <w:p w:rsidR="00764805" w:rsidRDefault="00764805" w:rsidP="00D427BB">
            <w:r>
              <w:t>WS 20/21</w:t>
            </w:r>
          </w:p>
        </w:tc>
        <w:tc>
          <w:tcPr>
            <w:tcW w:w="733" w:type="dxa"/>
          </w:tcPr>
          <w:p w:rsidR="00764805" w:rsidRDefault="00764805" w:rsidP="00D427BB">
            <w:proofErr w:type="spellStart"/>
            <w:r>
              <w:t>SoSe</w:t>
            </w:r>
            <w:proofErr w:type="spellEnd"/>
            <w:r>
              <w:t xml:space="preserve"> 21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64805" w:rsidRDefault="00764805" w:rsidP="00D427BB">
            <w:r>
              <w:t>WS 21/22</w:t>
            </w:r>
          </w:p>
        </w:tc>
        <w:tc>
          <w:tcPr>
            <w:tcW w:w="733" w:type="dxa"/>
          </w:tcPr>
          <w:p w:rsidR="00764805" w:rsidRDefault="00764805" w:rsidP="00D427BB">
            <w:proofErr w:type="spellStart"/>
            <w:r>
              <w:t>SoSe</w:t>
            </w:r>
            <w:proofErr w:type="spellEnd"/>
            <w:r>
              <w:t xml:space="preserve"> 22</w:t>
            </w:r>
          </w:p>
        </w:tc>
        <w:tc>
          <w:tcPr>
            <w:tcW w:w="816" w:type="dxa"/>
          </w:tcPr>
          <w:p w:rsidR="00764805" w:rsidRDefault="00764805" w:rsidP="00D427BB">
            <w:r>
              <w:t>WS 22/23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764805" w:rsidRDefault="00764805" w:rsidP="00D427BB">
            <w:proofErr w:type="spellStart"/>
            <w:r>
              <w:t>SoSe</w:t>
            </w:r>
            <w:proofErr w:type="spellEnd"/>
            <w:r>
              <w:t xml:space="preserve"> 23</w:t>
            </w:r>
          </w:p>
        </w:tc>
        <w:tc>
          <w:tcPr>
            <w:tcW w:w="747" w:type="dxa"/>
          </w:tcPr>
          <w:p w:rsidR="00764805" w:rsidRDefault="00764805" w:rsidP="00D427BB">
            <w:r>
              <w:t>WS 23/24</w:t>
            </w:r>
          </w:p>
        </w:tc>
        <w:tc>
          <w:tcPr>
            <w:tcW w:w="675" w:type="dxa"/>
          </w:tcPr>
          <w:p w:rsidR="00764805" w:rsidRDefault="00764805" w:rsidP="00D427BB">
            <w:proofErr w:type="spellStart"/>
            <w:r>
              <w:t>SoSe</w:t>
            </w:r>
            <w:proofErr w:type="spellEnd"/>
            <w:r>
              <w:t xml:space="preserve"> 24</w:t>
            </w:r>
          </w:p>
        </w:tc>
        <w:tc>
          <w:tcPr>
            <w:tcW w:w="747" w:type="dxa"/>
          </w:tcPr>
          <w:p w:rsidR="00764805" w:rsidRDefault="00764805" w:rsidP="00D427BB">
            <w:r>
              <w:t>WS 25/25</w:t>
            </w:r>
          </w:p>
        </w:tc>
        <w:tc>
          <w:tcPr>
            <w:tcW w:w="644" w:type="dxa"/>
          </w:tcPr>
          <w:p w:rsidR="00764805" w:rsidRDefault="00764805" w:rsidP="00D427BB">
            <w:proofErr w:type="spellStart"/>
            <w:r>
              <w:t>SoSe</w:t>
            </w:r>
            <w:proofErr w:type="spellEnd"/>
            <w:r>
              <w:t xml:space="preserve"> 25</w:t>
            </w:r>
          </w:p>
        </w:tc>
      </w:tr>
      <w:tr w:rsidR="00764805" w:rsidTr="009034C5">
        <w:tc>
          <w:tcPr>
            <w:tcW w:w="868" w:type="dxa"/>
          </w:tcPr>
          <w:p w:rsidR="00764805" w:rsidRDefault="00764805" w:rsidP="00D427BB">
            <w:r>
              <w:t>MB,VT(VZ)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tcBorders>
              <w:right w:val="single" w:sz="12" w:space="0" w:color="auto"/>
            </w:tcBorders>
            <w:shd w:val="clear" w:color="auto" w:fill="FF0000"/>
          </w:tcPr>
          <w:p w:rsidR="00764805" w:rsidRDefault="00764805" w:rsidP="00D427BB"/>
        </w:tc>
        <w:tc>
          <w:tcPr>
            <w:tcW w:w="733" w:type="dxa"/>
            <w:tcBorders>
              <w:left w:val="single" w:sz="12" w:space="0" w:color="auto"/>
            </w:tcBorders>
            <w:shd w:val="clear" w:color="auto" w:fill="auto"/>
          </w:tcPr>
          <w:p w:rsidR="00764805" w:rsidRDefault="00764805" w:rsidP="00D427BB"/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05" w:rsidRDefault="00764805" w:rsidP="00D427BB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05" w:rsidRPr="00764805" w:rsidRDefault="00764805" w:rsidP="00D427BB">
            <w:pPr>
              <w:rPr>
                <w:highlight w:val="red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64805" w:rsidRDefault="00764805" w:rsidP="00D427BB"/>
        </w:tc>
        <w:tc>
          <w:tcPr>
            <w:tcW w:w="675" w:type="dxa"/>
          </w:tcPr>
          <w:p w:rsidR="00764805" w:rsidRDefault="00764805" w:rsidP="00D427BB"/>
        </w:tc>
        <w:tc>
          <w:tcPr>
            <w:tcW w:w="747" w:type="dxa"/>
          </w:tcPr>
          <w:p w:rsidR="00764805" w:rsidRDefault="00764805" w:rsidP="00D427BB"/>
        </w:tc>
        <w:tc>
          <w:tcPr>
            <w:tcW w:w="644" w:type="dxa"/>
          </w:tcPr>
          <w:p w:rsidR="00764805" w:rsidRDefault="00764805" w:rsidP="00D427BB"/>
        </w:tc>
      </w:tr>
      <w:tr w:rsidR="00764805" w:rsidTr="009034C5">
        <w:tc>
          <w:tcPr>
            <w:tcW w:w="868" w:type="dxa"/>
          </w:tcPr>
          <w:p w:rsidR="00764805" w:rsidRDefault="00764805" w:rsidP="00D427BB">
            <w:r>
              <w:t>MB, VT (Dual)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tcBorders>
              <w:right w:val="single" w:sz="12" w:space="0" w:color="auto"/>
            </w:tcBorders>
            <w:shd w:val="clear" w:color="auto" w:fill="FF0000"/>
          </w:tcPr>
          <w:p w:rsidR="00764805" w:rsidRDefault="00764805" w:rsidP="00D427BB"/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64805" w:rsidRDefault="00764805" w:rsidP="00D427BB"/>
        </w:tc>
        <w:tc>
          <w:tcPr>
            <w:tcW w:w="747" w:type="dxa"/>
            <w:tcBorders>
              <w:bottom w:val="single" w:sz="4" w:space="0" w:color="auto"/>
            </w:tcBorders>
          </w:tcPr>
          <w:p w:rsidR="00764805" w:rsidRDefault="00764805" w:rsidP="00D427BB"/>
        </w:tc>
        <w:tc>
          <w:tcPr>
            <w:tcW w:w="675" w:type="dxa"/>
            <w:shd w:val="clear" w:color="auto" w:fill="auto"/>
          </w:tcPr>
          <w:p w:rsidR="00764805" w:rsidRDefault="00764805" w:rsidP="00D427BB"/>
        </w:tc>
        <w:tc>
          <w:tcPr>
            <w:tcW w:w="747" w:type="dxa"/>
          </w:tcPr>
          <w:p w:rsidR="00764805" w:rsidRDefault="00764805" w:rsidP="00D427BB"/>
        </w:tc>
        <w:tc>
          <w:tcPr>
            <w:tcW w:w="644" w:type="dxa"/>
          </w:tcPr>
          <w:p w:rsidR="00764805" w:rsidRDefault="00764805" w:rsidP="00D427BB"/>
        </w:tc>
      </w:tr>
      <w:tr w:rsidR="00764805" w:rsidTr="009034C5">
        <w:tc>
          <w:tcPr>
            <w:tcW w:w="868" w:type="dxa"/>
          </w:tcPr>
          <w:p w:rsidR="00764805" w:rsidRDefault="00764805" w:rsidP="00D427BB">
            <w:r>
              <w:t>MB, VT (TZ)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00B050"/>
          </w:tcPr>
          <w:p w:rsidR="00764805" w:rsidRDefault="00764805" w:rsidP="00D427BB"/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FF0000"/>
          </w:tcPr>
          <w:p w:rsidR="00764805" w:rsidRDefault="00764805" w:rsidP="00D427BB"/>
        </w:tc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:rsidR="00764805" w:rsidRDefault="00764805" w:rsidP="00D427BB"/>
        </w:tc>
        <w:tc>
          <w:tcPr>
            <w:tcW w:w="747" w:type="dxa"/>
          </w:tcPr>
          <w:p w:rsidR="00764805" w:rsidRDefault="00764805" w:rsidP="00D427BB"/>
        </w:tc>
        <w:tc>
          <w:tcPr>
            <w:tcW w:w="644" w:type="dxa"/>
            <w:shd w:val="clear" w:color="auto" w:fill="auto"/>
          </w:tcPr>
          <w:p w:rsidR="00764805" w:rsidRDefault="00764805" w:rsidP="00D427BB"/>
        </w:tc>
      </w:tr>
      <w:tr w:rsidR="009034C5" w:rsidTr="009034C5">
        <w:tc>
          <w:tcPr>
            <w:tcW w:w="868" w:type="dxa"/>
          </w:tcPr>
          <w:p w:rsidR="00764805" w:rsidRDefault="009034C5" w:rsidP="00D427BB">
            <w:r>
              <w:t>MT</w:t>
            </w:r>
          </w:p>
          <w:p w:rsidR="009034C5" w:rsidRDefault="009034C5" w:rsidP="00D427BB">
            <w:r>
              <w:t>(VZ)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tcBorders>
              <w:right w:val="single" w:sz="12" w:space="0" w:color="auto"/>
            </w:tcBorders>
            <w:shd w:val="clear" w:color="auto" w:fill="FF0000"/>
          </w:tcPr>
          <w:p w:rsidR="00764805" w:rsidRDefault="00764805" w:rsidP="00D427BB"/>
        </w:tc>
        <w:tc>
          <w:tcPr>
            <w:tcW w:w="747" w:type="dxa"/>
            <w:tcBorders>
              <w:left w:val="single" w:sz="12" w:space="0" w:color="auto"/>
            </w:tcBorders>
          </w:tcPr>
          <w:p w:rsidR="00764805" w:rsidRDefault="00764805" w:rsidP="00D427BB"/>
        </w:tc>
        <w:tc>
          <w:tcPr>
            <w:tcW w:w="675" w:type="dxa"/>
            <w:tcBorders>
              <w:bottom w:val="single" w:sz="4" w:space="0" w:color="auto"/>
            </w:tcBorders>
          </w:tcPr>
          <w:p w:rsidR="00764805" w:rsidRDefault="00764805" w:rsidP="00D427BB"/>
        </w:tc>
        <w:tc>
          <w:tcPr>
            <w:tcW w:w="747" w:type="dxa"/>
          </w:tcPr>
          <w:p w:rsidR="00764805" w:rsidRDefault="00764805" w:rsidP="00D427BB"/>
        </w:tc>
        <w:tc>
          <w:tcPr>
            <w:tcW w:w="644" w:type="dxa"/>
          </w:tcPr>
          <w:p w:rsidR="00764805" w:rsidRDefault="00764805" w:rsidP="00D427BB"/>
        </w:tc>
      </w:tr>
      <w:tr w:rsidR="009034C5" w:rsidTr="009034C5">
        <w:tc>
          <w:tcPr>
            <w:tcW w:w="868" w:type="dxa"/>
          </w:tcPr>
          <w:p w:rsidR="00764805" w:rsidRDefault="009034C5" w:rsidP="00D427BB">
            <w:r>
              <w:t>MT</w:t>
            </w:r>
          </w:p>
          <w:p w:rsidR="009034C5" w:rsidRDefault="009034C5" w:rsidP="00D427BB">
            <w:r>
              <w:t>(Dual)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747" w:type="dxa"/>
            <w:shd w:val="clear" w:color="auto" w:fill="00B050"/>
          </w:tcPr>
          <w:p w:rsidR="00764805" w:rsidRDefault="00764805" w:rsidP="00D427BB"/>
        </w:tc>
        <w:tc>
          <w:tcPr>
            <w:tcW w:w="675" w:type="dxa"/>
            <w:tcBorders>
              <w:right w:val="single" w:sz="12" w:space="0" w:color="auto"/>
            </w:tcBorders>
            <w:shd w:val="clear" w:color="auto" w:fill="FF0000"/>
          </w:tcPr>
          <w:p w:rsidR="00764805" w:rsidRDefault="00764805" w:rsidP="00D427BB"/>
        </w:tc>
        <w:tc>
          <w:tcPr>
            <w:tcW w:w="747" w:type="dxa"/>
            <w:tcBorders>
              <w:left w:val="single" w:sz="12" w:space="0" w:color="auto"/>
            </w:tcBorders>
          </w:tcPr>
          <w:p w:rsidR="00764805" w:rsidRDefault="00764805" w:rsidP="00D427BB"/>
        </w:tc>
        <w:tc>
          <w:tcPr>
            <w:tcW w:w="644" w:type="dxa"/>
            <w:tcBorders>
              <w:bottom w:val="single" w:sz="4" w:space="0" w:color="auto"/>
            </w:tcBorders>
          </w:tcPr>
          <w:p w:rsidR="00764805" w:rsidRDefault="00764805" w:rsidP="00D427BB"/>
        </w:tc>
      </w:tr>
      <w:tr w:rsidR="009034C5" w:rsidTr="009034C5">
        <w:tc>
          <w:tcPr>
            <w:tcW w:w="868" w:type="dxa"/>
          </w:tcPr>
          <w:p w:rsidR="00764805" w:rsidRDefault="009034C5" w:rsidP="00D427BB">
            <w:r>
              <w:t>MT</w:t>
            </w:r>
          </w:p>
          <w:p w:rsidR="009034C5" w:rsidRDefault="009034C5" w:rsidP="00D427BB">
            <w:r>
              <w:t>(TZ)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6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747" w:type="dxa"/>
            <w:shd w:val="clear" w:color="auto" w:fill="00B050"/>
          </w:tcPr>
          <w:p w:rsidR="00764805" w:rsidRDefault="00764805" w:rsidP="00D427BB"/>
        </w:tc>
        <w:tc>
          <w:tcPr>
            <w:tcW w:w="675" w:type="dxa"/>
            <w:shd w:val="clear" w:color="auto" w:fill="00B050"/>
          </w:tcPr>
          <w:p w:rsidR="00764805" w:rsidRDefault="00764805" w:rsidP="00D427BB"/>
        </w:tc>
        <w:tc>
          <w:tcPr>
            <w:tcW w:w="747" w:type="dxa"/>
            <w:shd w:val="clear" w:color="auto" w:fill="00B050"/>
          </w:tcPr>
          <w:p w:rsidR="00764805" w:rsidRDefault="00764805" w:rsidP="00D427BB"/>
        </w:tc>
        <w:tc>
          <w:tcPr>
            <w:tcW w:w="644" w:type="dxa"/>
            <w:tcBorders>
              <w:right w:val="single" w:sz="12" w:space="0" w:color="auto"/>
            </w:tcBorders>
            <w:shd w:val="clear" w:color="auto" w:fill="FF0000"/>
          </w:tcPr>
          <w:p w:rsidR="00764805" w:rsidRDefault="00764805" w:rsidP="00D427BB"/>
        </w:tc>
      </w:tr>
      <w:tr w:rsidR="00CF53FC" w:rsidTr="00CF53FC">
        <w:tc>
          <w:tcPr>
            <w:tcW w:w="868" w:type="dxa"/>
          </w:tcPr>
          <w:p w:rsidR="00764805" w:rsidRDefault="009034C5" w:rsidP="00D427BB">
            <w:r>
              <w:t>PRIMA</w:t>
            </w:r>
          </w:p>
        </w:tc>
        <w:tc>
          <w:tcPr>
            <w:tcW w:w="733" w:type="dxa"/>
            <w:shd w:val="clear" w:color="auto" w:fill="00B050"/>
          </w:tcPr>
          <w:p w:rsidR="00764805" w:rsidRDefault="00764805" w:rsidP="00D427BB"/>
        </w:tc>
        <w:tc>
          <w:tcPr>
            <w:tcW w:w="817" w:type="dxa"/>
            <w:shd w:val="clear" w:color="auto" w:fill="00B050"/>
          </w:tcPr>
          <w:p w:rsidR="00764805" w:rsidRDefault="00764805" w:rsidP="00D427BB"/>
        </w:tc>
        <w:tc>
          <w:tcPr>
            <w:tcW w:w="733" w:type="dxa"/>
            <w:shd w:val="clear" w:color="auto" w:fill="FF0000"/>
          </w:tcPr>
          <w:p w:rsidR="00764805" w:rsidRDefault="00764805" w:rsidP="00D427BB"/>
        </w:tc>
        <w:tc>
          <w:tcPr>
            <w:tcW w:w="816" w:type="dxa"/>
          </w:tcPr>
          <w:p w:rsidR="00764805" w:rsidRDefault="00764805" w:rsidP="00D427BB"/>
        </w:tc>
        <w:tc>
          <w:tcPr>
            <w:tcW w:w="733" w:type="dxa"/>
          </w:tcPr>
          <w:p w:rsidR="00764805" w:rsidRDefault="00764805" w:rsidP="00D427BB"/>
        </w:tc>
        <w:tc>
          <w:tcPr>
            <w:tcW w:w="816" w:type="dxa"/>
          </w:tcPr>
          <w:p w:rsidR="00764805" w:rsidRDefault="00764805" w:rsidP="00D427BB"/>
        </w:tc>
        <w:tc>
          <w:tcPr>
            <w:tcW w:w="733" w:type="dxa"/>
          </w:tcPr>
          <w:p w:rsidR="00764805" w:rsidRDefault="00764805" w:rsidP="00D427BB"/>
        </w:tc>
        <w:tc>
          <w:tcPr>
            <w:tcW w:w="747" w:type="dxa"/>
          </w:tcPr>
          <w:p w:rsidR="00764805" w:rsidRDefault="00764805" w:rsidP="00D427BB"/>
        </w:tc>
        <w:tc>
          <w:tcPr>
            <w:tcW w:w="675" w:type="dxa"/>
          </w:tcPr>
          <w:p w:rsidR="00764805" w:rsidRDefault="00764805" w:rsidP="00D427BB"/>
        </w:tc>
        <w:tc>
          <w:tcPr>
            <w:tcW w:w="747" w:type="dxa"/>
          </w:tcPr>
          <w:p w:rsidR="00764805" w:rsidRDefault="00764805" w:rsidP="00D427BB"/>
        </w:tc>
        <w:tc>
          <w:tcPr>
            <w:tcW w:w="644" w:type="dxa"/>
          </w:tcPr>
          <w:p w:rsidR="00CF53FC" w:rsidRDefault="00CF53FC" w:rsidP="00D427BB"/>
        </w:tc>
      </w:tr>
      <w:tr w:rsidR="00CF53FC" w:rsidTr="00CF53FC">
        <w:tc>
          <w:tcPr>
            <w:tcW w:w="868" w:type="dxa"/>
          </w:tcPr>
          <w:p w:rsidR="00CF53FC" w:rsidRDefault="00CF53FC" w:rsidP="00D427BB">
            <w:r>
              <w:t>CAPE</w:t>
            </w:r>
          </w:p>
        </w:tc>
        <w:tc>
          <w:tcPr>
            <w:tcW w:w="733" w:type="dxa"/>
            <w:shd w:val="clear" w:color="auto" w:fill="00B050"/>
          </w:tcPr>
          <w:p w:rsidR="00CF53FC" w:rsidRDefault="00CF53FC" w:rsidP="00D427BB"/>
        </w:tc>
        <w:tc>
          <w:tcPr>
            <w:tcW w:w="817" w:type="dxa"/>
            <w:shd w:val="clear" w:color="auto" w:fill="00B050"/>
          </w:tcPr>
          <w:p w:rsidR="00CF53FC" w:rsidRDefault="00CF53FC" w:rsidP="00D427BB"/>
        </w:tc>
        <w:tc>
          <w:tcPr>
            <w:tcW w:w="733" w:type="dxa"/>
            <w:shd w:val="clear" w:color="auto" w:fill="FF0000"/>
          </w:tcPr>
          <w:p w:rsidR="00CF53FC" w:rsidRDefault="00CF53FC" w:rsidP="00D427BB"/>
        </w:tc>
        <w:tc>
          <w:tcPr>
            <w:tcW w:w="816" w:type="dxa"/>
          </w:tcPr>
          <w:p w:rsidR="00CF53FC" w:rsidRDefault="00CF53FC" w:rsidP="00D427BB"/>
        </w:tc>
        <w:tc>
          <w:tcPr>
            <w:tcW w:w="733" w:type="dxa"/>
          </w:tcPr>
          <w:p w:rsidR="00CF53FC" w:rsidRDefault="00CF53FC" w:rsidP="00D427BB"/>
        </w:tc>
        <w:tc>
          <w:tcPr>
            <w:tcW w:w="816" w:type="dxa"/>
          </w:tcPr>
          <w:p w:rsidR="00CF53FC" w:rsidRDefault="00CF53FC" w:rsidP="00D427BB"/>
        </w:tc>
        <w:tc>
          <w:tcPr>
            <w:tcW w:w="733" w:type="dxa"/>
          </w:tcPr>
          <w:p w:rsidR="00CF53FC" w:rsidRDefault="00CF53FC" w:rsidP="00D427BB"/>
        </w:tc>
        <w:tc>
          <w:tcPr>
            <w:tcW w:w="747" w:type="dxa"/>
          </w:tcPr>
          <w:p w:rsidR="00CF53FC" w:rsidRDefault="00CF53FC" w:rsidP="00D427BB"/>
        </w:tc>
        <w:tc>
          <w:tcPr>
            <w:tcW w:w="675" w:type="dxa"/>
          </w:tcPr>
          <w:p w:rsidR="00CF53FC" w:rsidRDefault="00CF53FC" w:rsidP="00D427BB"/>
        </w:tc>
        <w:tc>
          <w:tcPr>
            <w:tcW w:w="747" w:type="dxa"/>
          </w:tcPr>
          <w:p w:rsidR="00CF53FC" w:rsidRDefault="00CF53FC" w:rsidP="00D427BB"/>
        </w:tc>
        <w:tc>
          <w:tcPr>
            <w:tcW w:w="644" w:type="dxa"/>
          </w:tcPr>
          <w:p w:rsidR="00CF53FC" w:rsidRDefault="00CF53FC" w:rsidP="00D427BB"/>
        </w:tc>
      </w:tr>
    </w:tbl>
    <w:p w:rsidR="00D427BB" w:rsidRDefault="00D427BB" w:rsidP="00D427BB"/>
    <w:p w:rsidR="00D427BB" w:rsidRDefault="00B31FB3" w:rsidP="00D427BB">
      <w:r>
        <w:t>Beachten Sie bitte, dass zu den Prüfungen auch Praxisphase, Thesis und Kolloquium</w:t>
      </w:r>
      <w:r w:rsidR="009034C5">
        <w:t xml:space="preserve"> (rot)</w:t>
      </w:r>
      <w:r>
        <w:t xml:space="preserve"> gehören, d.h. die Zulassung zu diesen Prüfungen muss spätesten</w:t>
      </w:r>
      <w:r w:rsidR="00756C2A">
        <w:t>s</w:t>
      </w:r>
      <w:r>
        <w:t xml:space="preserve"> ein Semester vor Ablauf der Prüfungsfrist erfolgen</w:t>
      </w:r>
      <w:r w:rsidR="009034C5">
        <w:t xml:space="preserve"> (grün)</w:t>
      </w:r>
      <w:r>
        <w:t>.</w:t>
      </w:r>
    </w:p>
    <w:p w:rsidR="00B31FB3" w:rsidRDefault="00B31FB3" w:rsidP="00D427BB">
      <w:r>
        <w:t>Letzte Anmeldetermin</w:t>
      </w:r>
      <w:r w:rsidR="007A712A">
        <w:t>e</w:t>
      </w:r>
      <w:r>
        <w:t xml:space="preserve"> für Praxisphase und Thesis</w:t>
      </w:r>
    </w:p>
    <w:tbl>
      <w:tblPr>
        <w:tblStyle w:val="Tabellenraster"/>
        <w:tblW w:w="2813" w:type="pct"/>
        <w:tblLook w:val="04A0" w:firstRow="1" w:lastRow="0" w:firstColumn="1" w:lastColumn="0" w:noHBand="0" w:noVBand="1"/>
      </w:tblPr>
      <w:tblGrid>
        <w:gridCol w:w="1696"/>
        <w:gridCol w:w="1700"/>
        <w:gridCol w:w="1702"/>
      </w:tblGrid>
      <w:tr w:rsidR="00CF53FC" w:rsidTr="007A712A">
        <w:tc>
          <w:tcPr>
            <w:tcW w:w="1663" w:type="pct"/>
            <w:vAlign w:val="center"/>
          </w:tcPr>
          <w:p w:rsidR="00CF53FC" w:rsidRDefault="00CF53FC" w:rsidP="007A712A">
            <w:r>
              <w:t>PO</w:t>
            </w:r>
          </w:p>
        </w:tc>
        <w:tc>
          <w:tcPr>
            <w:tcW w:w="1667" w:type="pct"/>
            <w:vAlign w:val="center"/>
          </w:tcPr>
          <w:p w:rsidR="00CF53FC" w:rsidRDefault="00CF53FC" w:rsidP="007A712A">
            <w:r>
              <w:t>Praxisphase</w:t>
            </w:r>
          </w:p>
        </w:tc>
        <w:tc>
          <w:tcPr>
            <w:tcW w:w="1669" w:type="pct"/>
            <w:vAlign w:val="center"/>
          </w:tcPr>
          <w:p w:rsidR="00CF53FC" w:rsidRDefault="00CF53FC" w:rsidP="007A712A">
            <w:r>
              <w:t>Thesis</w:t>
            </w:r>
          </w:p>
        </w:tc>
      </w:tr>
      <w:tr w:rsidR="00CF53FC" w:rsidTr="007A712A">
        <w:tc>
          <w:tcPr>
            <w:tcW w:w="1663" w:type="pct"/>
            <w:vAlign w:val="center"/>
          </w:tcPr>
          <w:p w:rsidR="00CF53FC" w:rsidRDefault="00CF53FC" w:rsidP="007A712A">
            <w:r>
              <w:t>MB,VT (VZ</w:t>
            </w:r>
            <w:r w:rsidR="007A712A">
              <w:t>)</w:t>
            </w:r>
          </w:p>
        </w:tc>
        <w:tc>
          <w:tcPr>
            <w:tcW w:w="1667" w:type="pct"/>
            <w:vAlign w:val="center"/>
          </w:tcPr>
          <w:p w:rsidR="00CF53FC" w:rsidRDefault="00D93D5E" w:rsidP="007A712A">
            <w:r>
              <w:t>03. 09. 2021</w:t>
            </w:r>
          </w:p>
        </w:tc>
        <w:tc>
          <w:tcPr>
            <w:tcW w:w="1669" w:type="pct"/>
            <w:vAlign w:val="center"/>
          </w:tcPr>
          <w:p w:rsidR="00CF53FC" w:rsidRDefault="00D93D5E" w:rsidP="007A712A">
            <w:r>
              <w:t>26. 11.</w:t>
            </w:r>
            <w:r w:rsidR="001F15C6">
              <w:t xml:space="preserve"> </w:t>
            </w:r>
            <w:r>
              <w:t>2021</w:t>
            </w:r>
          </w:p>
        </w:tc>
      </w:tr>
      <w:tr w:rsidR="00CF53FC" w:rsidTr="007A712A">
        <w:tc>
          <w:tcPr>
            <w:tcW w:w="1663" w:type="pct"/>
            <w:vAlign w:val="center"/>
          </w:tcPr>
          <w:p w:rsidR="00CF53FC" w:rsidRDefault="00CF53FC" w:rsidP="007A712A">
            <w:r>
              <w:t>MB, VT (Dual)</w:t>
            </w:r>
          </w:p>
        </w:tc>
        <w:tc>
          <w:tcPr>
            <w:tcW w:w="1667" w:type="pct"/>
            <w:vAlign w:val="center"/>
          </w:tcPr>
          <w:p w:rsidR="00CF53FC" w:rsidRDefault="001F15C6" w:rsidP="007A712A">
            <w:r>
              <w:t>02. 09. 2022</w:t>
            </w:r>
          </w:p>
        </w:tc>
        <w:tc>
          <w:tcPr>
            <w:tcW w:w="1669" w:type="pct"/>
            <w:vAlign w:val="center"/>
          </w:tcPr>
          <w:p w:rsidR="00CF53FC" w:rsidRDefault="001F15C6" w:rsidP="007A712A">
            <w:r>
              <w:t>25. 11. 2022</w:t>
            </w:r>
          </w:p>
        </w:tc>
      </w:tr>
      <w:tr w:rsidR="00CF53FC" w:rsidTr="007A712A">
        <w:tc>
          <w:tcPr>
            <w:tcW w:w="1663" w:type="pct"/>
            <w:vAlign w:val="center"/>
          </w:tcPr>
          <w:p w:rsidR="00CF53FC" w:rsidRDefault="00CF53FC" w:rsidP="007A712A">
            <w:r>
              <w:t>MB, VT (TZ)</w:t>
            </w:r>
          </w:p>
        </w:tc>
        <w:tc>
          <w:tcPr>
            <w:tcW w:w="1667" w:type="pct"/>
            <w:vAlign w:val="center"/>
          </w:tcPr>
          <w:p w:rsidR="00CF53FC" w:rsidRDefault="007A712A" w:rsidP="007A712A">
            <w:r>
              <w:t xml:space="preserve">01. </w:t>
            </w:r>
            <w:r w:rsidR="001F15C6">
              <w:t>09. 2023</w:t>
            </w:r>
          </w:p>
        </w:tc>
        <w:tc>
          <w:tcPr>
            <w:tcW w:w="1669" w:type="pct"/>
            <w:vAlign w:val="center"/>
          </w:tcPr>
          <w:p w:rsidR="00CF53FC" w:rsidRDefault="001F15C6" w:rsidP="007A712A">
            <w:r>
              <w:t>24. 11. 2023</w:t>
            </w:r>
          </w:p>
        </w:tc>
      </w:tr>
      <w:tr w:rsidR="00CF53FC" w:rsidTr="007A712A">
        <w:tc>
          <w:tcPr>
            <w:tcW w:w="1663" w:type="pct"/>
            <w:vAlign w:val="center"/>
          </w:tcPr>
          <w:p w:rsidR="00CF53FC" w:rsidRDefault="00CF53FC" w:rsidP="007A712A">
            <w:r>
              <w:t>MT (VZ)</w:t>
            </w:r>
          </w:p>
        </w:tc>
        <w:tc>
          <w:tcPr>
            <w:tcW w:w="1667" w:type="pct"/>
            <w:vAlign w:val="center"/>
          </w:tcPr>
          <w:p w:rsidR="00CF53FC" w:rsidRDefault="00D93D5E" w:rsidP="007A712A">
            <w:r>
              <w:t>10. 03.</w:t>
            </w:r>
            <w:r w:rsidR="001F15C6">
              <w:t xml:space="preserve"> </w:t>
            </w:r>
            <w:r>
              <w:t>2023</w:t>
            </w:r>
          </w:p>
        </w:tc>
        <w:tc>
          <w:tcPr>
            <w:tcW w:w="1669" w:type="pct"/>
            <w:vAlign w:val="center"/>
          </w:tcPr>
          <w:p w:rsidR="00D93D5E" w:rsidRDefault="00D93D5E" w:rsidP="007A712A">
            <w:r>
              <w:t>02. 06.</w:t>
            </w:r>
            <w:r w:rsidR="001F15C6">
              <w:t xml:space="preserve"> </w:t>
            </w:r>
            <w:r>
              <w:t>2023</w:t>
            </w:r>
          </w:p>
        </w:tc>
      </w:tr>
      <w:tr w:rsidR="001F15C6" w:rsidTr="007A712A">
        <w:tc>
          <w:tcPr>
            <w:tcW w:w="1663" w:type="pct"/>
            <w:vAlign w:val="center"/>
          </w:tcPr>
          <w:p w:rsidR="001F15C6" w:rsidRDefault="001F15C6" w:rsidP="007A712A">
            <w:r>
              <w:t>MT (Dual)</w:t>
            </w:r>
          </w:p>
        </w:tc>
        <w:tc>
          <w:tcPr>
            <w:tcW w:w="1667" w:type="pct"/>
            <w:vAlign w:val="center"/>
          </w:tcPr>
          <w:p w:rsidR="001F15C6" w:rsidRDefault="0003066D" w:rsidP="007A712A">
            <w:r>
              <w:t>08</w:t>
            </w:r>
            <w:r w:rsidR="00A06B7A">
              <w:t>. 03. 2024</w:t>
            </w:r>
          </w:p>
        </w:tc>
        <w:tc>
          <w:tcPr>
            <w:tcW w:w="1669" w:type="pct"/>
            <w:vAlign w:val="center"/>
          </w:tcPr>
          <w:p w:rsidR="001F15C6" w:rsidRDefault="0003066D" w:rsidP="007A712A">
            <w:r>
              <w:t>31. 05</w:t>
            </w:r>
            <w:r w:rsidR="001F15C6">
              <w:t>. 2024</w:t>
            </w:r>
          </w:p>
        </w:tc>
      </w:tr>
      <w:tr w:rsidR="001F15C6" w:rsidTr="007A712A">
        <w:tc>
          <w:tcPr>
            <w:tcW w:w="1663" w:type="pct"/>
            <w:vAlign w:val="center"/>
          </w:tcPr>
          <w:p w:rsidR="001F15C6" w:rsidRDefault="001F15C6" w:rsidP="007A712A">
            <w:r>
              <w:t>MT (TZ)</w:t>
            </w:r>
          </w:p>
        </w:tc>
        <w:tc>
          <w:tcPr>
            <w:tcW w:w="1667" w:type="pct"/>
            <w:vAlign w:val="center"/>
          </w:tcPr>
          <w:p w:rsidR="001F15C6" w:rsidRDefault="001F15C6" w:rsidP="007A712A">
            <w:r>
              <w:t>07. 03. 2025</w:t>
            </w:r>
          </w:p>
        </w:tc>
        <w:tc>
          <w:tcPr>
            <w:tcW w:w="1669" w:type="pct"/>
            <w:vAlign w:val="center"/>
          </w:tcPr>
          <w:p w:rsidR="001F15C6" w:rsidRDefault="0003066D" w:rsidP="007A712A">
            <w:r>
              <w:t>30. 05. 2025</w:t>
            </w:r>
          </w:p>
        </w:tc>
      </w:tr>
      <w:tr w:rsidR="001F15C6" w:rsidTr="007A712A">
        <w:tc>
          <w:tcPr>
            <w:tcW w:w="1663" w:type="pct"/>
            <w:vAlign w:val="center"/>
          </w:tcPr>
          <w:p w:rsidR="001F15C6" w:rsidRDefault="001F15C6" w:rsidP="007A712A">
            <w:r>
              <w:t>PRIMA</w:t>
            </w:r>
          </w:p>
        </w:tc>
        <w:tc>
          <w:tcPr>
            <w:tcW w:w="1667" w:type="pct"/>
            <w:vAlign w:val="center"/>
          </w:tcPr>
          <w:p w:rsidR="001F15C6" w:rsidRDefault="001F15C6" w:rsidP="007A712A">
            <w:r>
              <w:t>entfällt</w:t>
            </w:r>
          </w:p>
        </w:tc>
        <w:tc>
          <w:tcPr>
            <w:tcW w:w="1669" w:type="pct"/>
            <w:vAlign w:val="center"/>
          </w:tcPr>
          <w:p w:rsidR="001F15C6" w:rsidRDefault="001F15C6" w:rsidP="007A712A">
            <w:r>
              <w:t>02. 04. 2021</w:t>
            </w:r>
          </w:p>
        </w:tc>
      </w:tr>
      <w:tr w:rsidR="001F15C6" w:rsidTr="007A712A">
        <w:tc>
          <w:tcPr>
            <w:tcW w:w="1663" w:type="pct"/>
            <w:vAlign w:val="center"/>
          </w:tcPr>
          <w:p w:rsidR="001F15C6" w:rsidRDefault="001F15C6" w:rsidP="007A712A">
            <w:r>
              <w:t>CAPE</w:t>
            </w:r>
          </w:p>
        </w:tc>
        <w:tc>
          <w:tcPr>
            <w:tcW w:w="1667" w:type="pct"/>
            <w:vAlign w:val="center"/>
          </w:tcPr>
          <w:p w:rsidR="001F15C6" w:rsidRDefault="001F15C6" w:rsidP="007A712A">
            <w:r>
              <w:t>entfällt</w:t>
            </w:r>
          </w:p>
        </w:tc>
        <w:tc>
          <w:tcPr>
            <w:tcW w:w="1669" w:type="pct"/>
            <w:vAlign w:val="center"/>
          </w:tcPr>
          <w:p w:rsidR="001F15C6" w:rsidRDefault="001F15C6" w:rsidP="007A712A">
            <w:r>
              <w:t>02. 04. 2021</w:t>
            </w:r>
          </w:p>
        </w:tc>
      </w:tr>
    </w:tbl>
    <w:p w:rsidR="00B31FB3" w:rsidRDefault="00B31FB3" w:rsidP="00D427BB"/>
    <w:p w:rsidR="0003066D" w:rsidRPr="0003066D" w:rsidRDefault="0003066D" w:rsidP="0003066D">
      <w:r w:rsidRPr="0003066D">
        <w:t>Vom Studierenden nicht beeinflussbare Umstände (Krankheit, Abstimmung des Kolloquium-Termins, etc.), die den Abschluss der Bac</w:t>
      </w:r>
      <w:r w:rsidR="007A712A">
        <w:t>helorprüfung über die Frist</w:t>
      </w:r>
      <w:r w:rsidRPr="0003066D">
        <w:t xml:space="preserve"> hinaus</w:t>
      </w:r>
      <w:r w:rsidR="00756C2A">
        <w:t xml:space="preserve">schieben, müssen dem HPA wie </w:t>
      </w:r>
      <w:r w:rsidRPr="0003066D">
        <w:t>üblich angezeigt werden und erfordern i.Allg. keinen Wechsel der PO.</w:t>
      </w:r>
    </w:p>
    <w:p w:rsidR="00D84815" w:rsidRPr="00D427BB" w:rsidRDefault="00D84815" w:rsidP="00D84815"/>
    <w:p w:rsidR="00D84815" w:rsidRPr="00D427BB" w:rsidRDefault="00D84815" w:rsidP="00D84815"/>
    <w:p w:rsidR="00A47F43" w:rsidRPr="00D427BB" w:rsidRDefault="00A47F43" w:rsidP="00D427BB"/>
    <w:sectPr w:rsidR="00A47F43" w:rsidRPr="00D427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963"/>
    <w:multiLevelType w:val="hybridMultilevel"/>
    <w:tmpl w:val="C7189C00"/>
    <w:lvl w:ilvl="0" w:tplc="71AC36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60F"/>
    <w:multiLevelType w:val="hybridMultilevel"/>
    <w:tmpl w:val="8D1019A4"/>
    <w:lvl w:ilvl="0" w:tplc="84B6B2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0AE2"/>
    <w:multiLevelType w:val="hybridMultilevel"/>
    <w:tmpl w:val="DE96DBA8"/>
    <w:lvl w:ilvl="0" w:tplc="A88C70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6994"/>
    <w:multiLevelType w:val="hybridMultilevel"/>
    <w:tmpl w:val="09D46AC8"/>
    <w:lvl w:ilvl="0" w:tplc="EA429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BB"/>
    <w:rsid w:val="0003066D"/>
    <w:rsid w:val="00122D10"/>
    <w:rsid w:val="001F15C6"/>
    <w:rsid w:val="00267305"/>
    <w:rsid w:val="003F2377"/>
    <w:rsid w:val="00401D3A"/>
    <w:rsid w:val="00527D49"/>
    <w:rsid w:val="00567F0E"/>
    <w:rsid w:val="006F451C"/>
    <w:rsid w:val="00756C2A"/>
    <w:rsid w:val="00764805"/>
    <w:rsid w:val="007A712A"/>
    <w:rsid w:val="009034C5"/>
    <w:rsid w:val="00A06B7A"/>
    <w:rsid w:val="00A47F43"/>
    <w:rsid w:val="00B31FB3"/>
    <w:rsid w:val="00CF53FC"/>
    <w:rsid w:val="00D427BB"/>
    <w:rsid w:val="00D84815"/>
    <w:rsid w:val="00D93D5E"/>
    <w:rsid w:val="00E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01F6"/>
  <w15:chartTrackingRefBased/>
  <w15:docId w15:val="{315FAEAE-3606-4BAA-A920-ABAA6099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7D49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2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7D49"/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2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D4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Niederrhein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Schloms</dc:creator>
  <cp:keywords/>
  <dc:description/>
  <cp:lastModifiedBy>Moni</cp:lastModifiedBy>
  <cp:revision>5</cp:revision>
  <cp:lastPrinted>2020-01-28T13:00:00Z</cp:lastPrinted>
  <dcterms:created xsi:type="dcterms:W3CDTF">2020-01-28T13:00:00Z</dcterms:created>
  <dcterms:modified xsi:type="dcterms:W3CDTF">2020-01-30T13:52:00Z</dcterms:modified>
</cp:coreProperties>
</file>